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CE804" w14:textId="77777777" w:rsidR="00D863C3" w:rsidRDefault="00000000">
      <w:pPr>
        <w:tabs>
          <w:tab w:val="left" w:pos="2325"/>
          <w:tab w:val="center" w:pos="4702"/>
        </w:tabs>
        <w:spacing w:after="0" w:line="240" w:lineRule="auto"/>
        <w:rPr>
          <w:rFonts w:ascii="Verdana" w:eastAsia="Verdana" w:hAnsi="Verdana" w:cs="Verdana"/>
          <w:b/>
          <w:sz w:val="20"/>
          <w:szCs w:val="20"/>
        </w:rPr>
      </w:pPr>
      <w:bookmarkStart w:id="0" w:name="_heading=h.30j0zll" w:colFirst="0" w:colLast="0"/>
      <w:bookmarkEnd w:id="0"/>
      <w:r>
        <w:rPr>
          <w:rFonts w:ascii="Tahoma" w:eastAsia="Tahoma" w:hAnsi="Tahoma" w:cs="Tahoma"/>
        </w:rPr>
        <w:tab/>
      </w:r>
      <w:r>
        <w:rPr>
          <w:rFonts w:ascii="Verdana" w:eastAsia="Verdana" w:hAnsi="Verdana" w:cs="Verdana"/>
          <w:sz w:val="20"/>
          <w:szCs w:val="20"/>
        </w:rPr>
        <w:tab/>
      </w:r>
      <w:r>
        <w:rPr>
          <w:rFonts w:ascii="Verdana" w:eastAsia="Verdana" w:hAnsi="Verdana" w:cs="Verdana"/>
          <w:b/>
          <w:sz w:val="20"/>
          <w:szCs w:val="20"/>
        </w:rPr>
        <w:t>MEMORANDO</w:t>
      </w:r>
    </w:p>
    <w:p w14:paraId="0FEDC03E" w14:textId="77777777" w:rsidR="00D863C3" w:rsidRDefault="00D863C3">
      <w:pPr>
        <w:tabs>
          <w:tab w:val="left" w:pos="2325"/>
          <w:tab w:val="center" w:pos="4702"/>
        </w:tabs>
        <w:spacing w:after="0" w:line="240" w:lineRule="auto"/>
        <w:rPr>
          <w:rFonts w:ascii="Tahoma" w:eastAsia="Tahoma" w:hAnsi="Tahoma" w:cs="Tahoma"/>
          <w:b/>
        </w:rPr>
      </w:pPr>
    </w:p>
    <w:p w14:paraId="2EF4CC63" w14:textId="77777777" w:rsidR="00D863C3" w:rsidRDefault="00D863C3">
      <w:pPr>
        <w:tabs>
          <w:tab w:val="left" w:pos="2325"/>
          <w:tab w:val="center" w:pos="4702"/>
        </w:tabs>
        <w:spacing w:after="0" w:line="240" w:lineRule="auto"/>
        <w:rPr>
          <w:rFonts w:ascii="Tahoma" w:eastAsia="Tahoma" w:hAnsi="Tahoma" w:cs="Tahoma"/>
        </w:rPr>
      </w:pPr>
    </w:p>
    <w:p w14:paraId="0051BED8" w14:textId="77777777" w:rsidR="00D863C3" w:rsidRDefault="00000000">
      <w:pPr>
        <w:tabs>
          <w:tab w:val="left" w:pos="2325"/>
          <w:tab w:val="center" w:pos="4702"/>
        </w:tabs>
        <w:spacing w:after="0" w:line="240" w:lineRule="auto"/>
        <w:rPr>
          <w:rFonts w:ascii="Tahoma" w:eastAsia="Tahoma" w:hAnsi="Tahoma" w:cs="Tahoma"/>
          <w:b/>
        </w:rPr>
      </w:pPr>
      <w:bookmarkStart w:id="1" w:name="_heading=h.1fob9te" w:colFirst="0" w:colLast="0"/>
      <w:bookmarkEnd w:id="1"/>
      <w:r>
        <w:rPr>
          <w:rFonts w:ascii="3 of 9 Barcode" w:eastAsia="3 of 9 Barcode" w:hAnsi="3 of 9 Barcode" w:cs="3 of 9 Barcode"/>
          <w:sz w:val="40"/>
          <w:szCs w:val="40"/>
        </w:rPr>
        <w:t>**RAD_S**</w:t>
      </w:r>
    </w:p>
    <w:p w14:paraId="5B1325E1" w14:textId="77777777" w:rsidR="00D863C3" w:rsidRDefault="00000000">
      <w:pPr>
        <w:tabs>
          <w:tab w:val="left" w:pos="2325"/>
          <w:tab w:val="center" w:pos="4702"/>
        </w:tabs>
        <w:spacing w:after="0" w:line="240" w:lineRule="auto"/>
        <w:rPr>
          <w:rFonts w:ascii="Verdana" w:eastAsia="Verdana" w:hAnsi="Verdana" w:cs="Verdana"/>
          <w:b/>
          <w:sz w:val="20"/>
          <w:szCs w:val="20"/>
        </w:rPr>
      </w:pPr>
      <w:r>
        <w:rPr>
          <w:rFonts w:ascii="Verdana" w:eastAsia="Verdana" w:hAnsi="Verdana" w:cs="Verdana"/>
          <w:b/>
          <w:sz w:val="20"/>
          <w:szCs w:val="20"/>
        </w:rPr>
        <w:t xml:space="preserve">ICANH – MI </w:t>
      </w:r>
      <w:r>
        <w:rPr>
          <w:rFonts w:ascii="Verdana" w:eastAsia="Verdana" w:hAnsi="Verdana" w:cs="Verdana"/>
          <w:color w:val="141414"/>
          <w:sz w:val="20"/>
          <w:szCs w:val="20"/>
        </w:rPr>
        <w:t>*RAD_S*</w:t>
      </w:r>
      <w:r>
        <w:rPr>
          <w:rFonts w:ascii="Verdana" w:eastAsia="Verdana" w:hAnsi="Verdana" w:cs="Verdana"/>
          <w:b/>
          <w:sz w:val="20"/>
          <w:szCs w:val="20"/>
        </w:rPr>
        <w:t xml:space="preserve"> </w:t>
      </w:r>
    </w:p>
    <w:p w14:paraId="08A11889" w14:textId="77777777" w:rsidR="00D863C3" w:rsidRDefault="00D863C3">
      <w:pPr>
        <w:tabs>
          <w:tab w:val="left" w:pos="2325"/>
          <w:tab w:val="center" w:pos="4702"/>
        </w:tabs>
        <w:spacing w:after="0" w:line="240" w:lineRule="auto"/>
        <w:rPr>
          <w:rFonts w:ascii="Verdana" w:eastAsia="Verdana" w:hAnsi="Verdana" w:cs="Verdana"/>
          <w:sz w:val="20"/>
          <w:szCs w:val="20"/>
        </w:rPr>
      </w:pPr>
    </w:p>
    <w:p w14:paraId="273701EF" w14:textId="77777777" w:rsidR="00D863C3" w:rsidRDefault="00000000">
      <w:pPr>
        <w:spacing w:after="20" w:line="240" w:lineRule="auto"/>
        <w:rPr>
          <w:rFonts w:ascii="Verdana" w:eastAsia="Verdana" w:hAnsi="Verdana" w:cs="Verdana"/>
          <w:sz w:val="20"/>
          <w:szCs w:val="20"/>
        </w:rPr>
      </w:pPr>
      <w:r>
        <w:rPr>
          <w:rFonts w:ascii="Verdana" w:eastAsia="Verdana" w:hAnsi="Verdana" w:cs="Verdana"/>
          <w:sz w:val="20"/>
          <w:szCs w:val="20"/>
        </w:rPr>
        <w:t>Bogotá D.C., *F_HOY_CORTO*</w:t>
      </w:r>
    </w:p>
    <w:p w14:paraId="0451F037" w14:textId="77777777" w:rsidR="00D863C3" w:rsidRDefault="00D863C3">
      <w:pPr>
        <w:tabs>
          <w:tab w:val="left" w:pos="2325"/>
          <w:tab w:val="center" w:pos="4702"/>
        </w:tabs>
        <w:spacing w:after="0" w:line="240" w:lineRule="auto"/>
        <w:rPr>
          <w:rFonts w:ascii="Verdana" w:eastAsia="Verdana" w:hAnsi="Verdana" w:cs="Verdana"/>
          <w:sz w:val="20"/>
          <w:szCs w:val="20"/>
        </w:rPr>
      </w:pPr>
    </w:p>
    <w:p w14:paraId="56791EE8" w14:textId="77777777" w:rsidR="00D863C3" w:rsidRDefault="00D863C3">
      <w:pPr>
        <w:tabs>
          <w:tab w:val="left" w:pos="2325"/>
          <w:tab w:val="center" w:pos="4702"/>
        </w:tabs>
        <w:spacing w:after="0" w:line="240" w:lineRule="auto"/>
        <w:rPr>
          <w:rFonts w:ascii="Verdana" w:eastAsia="Verdana" w:hAnsi="Verdana" w:cs="Verdana"/>
          <w:sz w:val="20"/>
          <w:szCs w:val="20"/>
        </w:rPr>
      </w:pPr>
    </w:p>
    <w:p w14:paraId="7FA39B92" w14:textId="4190B8F6" w:rsidR="00D863C3" w:rsidRDefault="00000000">
      <w:pPr>
        <w:ind w:left="1410" w:hanging="1410"/>
        <w:jc w:val="both"/>
        <w:rPr>
          <w:rFonts w:ascii="Verdana" w:eastAsia="Verdana" w:hAnsi="Verdana" w:cs="Verdana"/>
          <w:sz w:val="20"/>
          <w:szCs w:val="20"/>
        </w:rPr>
      </w:pPr>
      <w:r>
        <w:rPr>
          <w:rFonts w:ascii="Verdana" w:eastAsia="Verdana" w:hAnsi="Verdana" w:cs="Verdana"/>
          <w:b/>
          <w:sz w:val="20"/>
          <w:szCs w:val="20"/>
        </w:rPr>
        <w:t xml:space="preserve">PARA: </w:t>
      </w:r>
      <w:r w:rsidR="00C227AE">
        <w:rPr>
          <w:rFonts w:ascii="Verdana" w:eastAsia="Verdana" w:hAnsi="Verdana" w:cs="Verdana"/>
          <w:b/>
          <w:sz w:val="20"/>
          <w:szCs w:val="20"/>
        </w:rPr>
        <w:tab/>
      </w:r>
      <w:r w:rsidR="00C53309">
        <w:rPr>
          <w:rFonts w:ascii="Verdana" w:eastAsia="Verdana" w:hAnsi="Verdana" w:cs="Verdana"/>
          <w:sz w:val="20"/>
          <w:szCs w:val="20"/>
        </w:rPr>
        <w:t>Jonathan Andrés Sánchez Corredor</w:t>
      </w:r>
    </w:p>
    <w:p w14:paraId="42942274" w14:textId="68149101" w:rsidR="00D863C3" w:rsidRDefault="00000000">
      <w:pPr>
        <w:ind w:left="1410" w:hanging="1410"/>
        <w:jc w:val="both"/>
        <w:rPr>
          <w:rFonts w:ascii="Verdana" w:eastAsia="Verdana" w:hAnsi="Verdana" w:cs="Verdana"/>
          <w:sz w:val="20"/>
          <w:szCs w:val="20"/>
        </w:rPr>
      </w:pPr>
      <w:r>
        <w:rPr>
          <w:rFonts w:ascii="Verdana" w:eastAsia="Verdana" w:hAnsi="Verdana" w:cs="Verdana"/>
          <w:sz w:val="20"/>
          <w:szCs w:val="20"/>
        </w:rPr>
        <w:t xml:space="preserve">            </w:t>
      </w:r>
      <w:r w:rsidR="00C227AE">
        <w:rPr>
          <w:rFonts w:ascii="Verdana" w:eastAsia="Verdana" w:hAnsi="Verdana" w:cs="Verdana"/>
          <w:sz w:val="20"/>
          <w:szCs w:val="20"/>
        </w:rPr>
        <w:tab/>
      </w:r>
      <w:r w:rsidR="00C53309">
        <w:rPr>
          <w:rFonts w:ascii="Verdana" w:eastAsia="Verdana" w:hAnsi="Verdana" w:cs="Verdana"/>
          <w:sz w:val="20"/>
          <w:szCs w:val="20"/>
        </w:rPr>
        <w:t>Oficina de Tecnologías.</w:t>
      </w:r>
    </w:p>
    <w:p w14:paraId="47FAA411" w14:textId="77777777" w:rsidR="00D863C3" w:rsidRDefault="00D863C3">
      <w:pPr>
        <w:tabs>
          <w:tab w:val="left" w:pos="2325"/>
          <w:tab w:val="center" w:pos="4702"/>
        </w:tabs>
        <w:spacing w:after="0" w:line="240" w:lineRule="auto"/>
        <w:rPr>
          <w:rFonts w:ascii="Verdana" w:eastAsia="Verdana" w:hAnsi="Verdana" w:cs="Verdana"/>
          <w:sz w:val="20"/>
          <w:szCs w:val="20"/>
        </w:rPr>
      </w:pPr>
    </w:p>
    <w:p w14:paraId="7574F78A" w14:textId="780BB2D2" w:rsidR="00D863C3" w:rsidRDefault="00000000" w:rsidP="00C227AE">
      <w:pPr>
        <w:tabs>
          <w:tab w:val="left" w:pos="1418"/>
          <w:tab w:val="center" w:pos="4702"/>
        </w:tabs>
        <w:spacing w:after="0" w:line="240" w:lineRule="auto"/>
        <w:rPr>
          <w:rFonts w:ascii="Verdana" w:eastAsia="Verdana" w:hAnsi="Verdana" w:cs="Verdana"/>
          <w:b/>
          <w:sz w:val="20"/>
          <w:szCs w:val="20"/>
        </w:rPr>
      </w:pPr>
      <w:r>
        <w:rPr>
          <w:rFonts w:ascii="Verdana" w:eastAsia="Verdana" w:hAnsi="Verdana" w:cs="Verdana"/>
          <w:b/>
          <w:sz w:val="20"/>
          <w:szCs w:val="20"/>
        </w:rPr>
        <w:t xml:space="preserve">DE: </w:t>
      </w:r>
      <w:r w:rsidR="00C53309">
        <w:rPr>
          <w:rFonts w:ascii="Verdana" w:eastAsia="Verdana" w:hAnsi="Verdana" w:cs="Verdana"/>
          <w:sz w:val="20"/>
          <w:szCs w:val="20"/>
        </w:rPr>
        <w:t xml:space="preserve"> </w:t>
      </w:r>
      <w:r w:rsidR="00C227AE">
        <w:rPr>
          <w:rFonts w:ascii="Verdana" w:eastAsia="Verdana" w:hAnsi="Verdana" w:cs="Verdana"/>
          <w:sz w:val="20"/>
          <w:szCs w:val="20"/>
        </w:rPr>
        <w:tab/>
      </w:r>
      <w:r w:rsidR="00C53309">
        <w:rPr>
          <w:rFonts w:ascii="Verdana" w:eastAsia="Verdana" w:hAnsi="Verdana" w:cs="Verdana"/>
          <w:sz w:val="20"/>
          <w:szCs w:val="20"/>
        </w:rPr>
        <w:t>Oficina de Control Interno</w:t>
      </w:r>
    </w:p>
    <w:p w14:paraId="23496165" w14:textId="77777777" w:rsidR="00D863C3" w:rsidRDefault="00D863C3">
      <w:pPr>
        <w:tabs>
          <w:tab w:val="left" w:pos="2325"/>
          <w:tab w:val="center" w:pos="4702"/>
        </w:tabs>
        <w:spacing w:after="0" w:line="240" w:lineRule="auto"/>
        <w:rPr>
          <w:rFonts w:ascii="Verdana" w:eastAsia="Verdana" w:hAnsi="Verdana" w:cs="Verdana"/>
          <w:sz w:val="20"/>
          <w:szCs w:val="20"/>
        </w:rPr>
      </w:pPr>
    </w:p>
    <w:p w14:paraId="512A27B2" w14:textId="5A46ED46" w:rsidR="00D863C3" w:rsidRDefault="00000000" w:rsidP="00C227AE">
      <w:pPr>
        <w:tabs>
          <w:tab w:val="left" w:pos="2325"/>
          <w:tab w:val="center" w:pos="4702"/>
        </w:tabs>
        <w:spacing w:after="0" w:line="240" w:lineRule="auto"/>
        <w:jc w:val="both"/>
        <w:rPr>
          <w:rFonts w:ascii="Verdana" w:eastAsia="Verdana" w:hAnsi="Verdana" w:cs="Verdana"/>
          <w:b/>
          <w:sz w:val="20"/>
          <w:szCs w:val="20"/>
        </w:rPr>
      </w:pPr>
      <w:r>
        <w:rPr>
          <w:rFonts w:ascii="Verdana" w:eastAsia="Verdana" w:hAnsi="Verdana" w:cs="Verdana"/>
          <w:b/>
          <w:sz w:val="20"/>
          <w:szCs w:val="20"/>
        </w:rPr>
        <w:t xml:space="preserve">ASUNTO: </w:t>
      </w:r>
      <w:r w:rsidR="00C53309">
        <w:rPr>
          <w:rFonts w:ascii="Verdana" w:eastAsia="Verdana" w:hAnsi="Verdana" w:cs="Verdana"/>
          <w:sz w:val="20"/>
          <w:szCs w:val="20"/>
        </w:rPr>
        <w:t xml:space="preserve">Respuesta a las observaciones realizadas en el marco del seguimiento </w:t>
      </w:r>
      <w:r w:rsidR="00C227AE">
        <w:rPr>
          <w:rFonts w:ascii="Verdana" w:eastAsia="Verdana" w:hAnsi="Verdana" w:cs="Verdana"/>
          <w:sz w:val="20"/>
          <w:szCs w:val="20"/>
        </w:rPr>
        <w:t xml:space="preserve">de lo correspondiente al </w:t>
      </w:r>
      <w:r w:rsidR="00C227AE" w:rsidRPr="00C227AE">
        <w:rPr>
          <w:rFonts w:ascii="Verdana" w:eastAsia="Verdana" w:hAnsi="Verdana" w:cs="Verdana"/>
          <w:sz w:val="20"/>
          <w:szCs w:val="20"/>
        </w:rPr>
        <w:t>Uso de Software Legal - ICANH reporte a la Dirección Nacional de Derechos de Autor 2025</w:t>
      </w:r>
    </w:p>
    <w:p w14:paraId="5941C6DB" w14:textId="77777777" w:rsidR="00D863C3" w:rsidRDefault="00D863C3">
      <w:pPr>
        <w:tabs>
          <w:tab w:val="left" w:pos="2325"/>
          <w:tab w:val="center" w:pos="4702"/>
        </w:tabs>
        <w:spacing w:after="0" w:line="240" w:lineRule="auto"/>
        <w:rPr>
          <w:rFonts w:ascii="Verdana" w:eastAsia="Verdana" w:hAnsi="Verdana" w:cs="Verdana"/>
          <w:sz w:val="20"/>
          <w:szCs w:val="20"/>
        </w:rPr>
      </w:pPr>
    </w:p>
    <w:p w14:paraId="4B76AEAD" w14:textId="77777777" w:rsidR="00D863C3" w:rsidRDefault="00D863C3">
      <w:pPr>
        <w:tabs>
          <w:tab w:val="left" w:pos="2325"/>
          <w:tab w:val="center" w:pos="4702"/>
        </w:tabs>
        <w:spacing w:after="0" w:line="240" w:lineRule="auto"/>
        <w:rPr>
          <w:rFonts w:ascii="Verdana" w:eastAsia="Verdana" w:hAnsi="Verdana" w:cs="Verdana"/>
          <w:sz w:val="20"/>
          <w:szCs w:val="20"/>
        </w:rPr>
      </w:pPr>
    </w:p>
    <w:p w14:paraId="6C6AC4E8" w14:textId="7569312B" w:rsidR="00D863C3" w:rsidRDefault="00BB4120" w:rsidP="00BB4120">
      <w:pPr>
        <w:tabs>
          <w:tab w:val="left" w:pos="2325"/>
          <w:tab w:val="center" w:pos="4702"/>
        </w:tabs>
        <w:spacing w:after="0" w:line="240" w:lineRule="auto"/>
        <w:jc w:val="both"/>
        <w:rPr>
          <w:rFonts w:ascii="Verdana" w:eastAsia="Verdana" w:hAnsi="Verdana" w:cs="Verdana"/>
          <w:sz w:val="20"/>
          <w:szCs w:val="20"/>
        </w:rPr>
      </w:pPr>
      <w:r w:rsidRPr="00BB4120">
        <w:rPr>
          <w:rFonts w:ascii="Verdana" w:eastAsia="Verdana" w:hAnsi="Verdana" w:cs="Verdana"/>
          <w:sz w:val="20"/>
          <w:szCs w:val="20"/>
        </w:rPr>
        <w:t>En atención a las observaciones y precisiones técnicas remitidas por la Oficina de Tecnologías frente al Informe Preliminar de Seguimiento al Uso de Software Legal del Instituto Colombiano de Antropología e Historia – ICANH, correspondiente a la vigencia 2025, la Oficina de Control Interno se permite dar respuesta en los siguientes términos:</w:t>
      </w:r>
    </w:p>
    <w:p w14:paraId="5F903AC7" w14:textId="3B2BBD62" w:rsidR="00BB4120" w:rsidRDefault="00BB4120" w:rsidP="00BB4120">
      <w:pPr>
        <w:tabs>
          <w:tab w:val="left" w:pos="2325"/>
          <w:tab w:val="center" w:pos="4702"/>
        </w:tabs>
        <w:spacing w:after="0" w:line="240" w:lineRule="auto"/>
        <w:jc w:val="both"/>
        <w:rPr>
          <w:rFonts w:ascii="Verdana" w:eastAsia="Verdana" w:hAnsi="Verdana" w:cs="Verdana"/>
          <w:sz w:val="20"/>
          <w:szCs w:val="20"/>
        </w:rPr>
      </w:pPr>
    </w:p>
    <w:p w14:paraId="786F574B" w14:textId="6A0E097C" w:rsidR="00BB4120" w:rsidRPr="00BB4120" w:rsidRDefault="00BB4120" w:rsidP="00BB4120">
      <w:pPr>
        <w:pStyle w:val="Prrafodelista"/>
        <w:numPr>
          <w:ilvl w:val="0"/>
          <w:numId w:val="2"/>
        </w:numPr>
        <w:tabs>
          <w:tab w:val="left" w:pos="2325"/>
          <w:tab w:val="center" w:pos="4702"/>
        </w:tabs>
        <w:spacing w:after="0" w:line="240" w:lineRule="auto"/>
        <w:jc w:val="both"/>
        <w:rPr>
          <w:rFonts w:ascii="Verdana" w:eastAsia="Verdana" w:hAnsi="Verdana" w:cs="Verdana"/>
          <w:b/>
          <w:bCs/>
          <w:sz w:val="20"/>
          <w:szCs w:val="20"/>
        </w:rPr>
      </w:pPr>
      <w:r w:rsidRPr="00BB4120">
        <w:rPr>
          <w:rFonts w:ascii="Verdana" w:eastAsia="Verdana" w:hAnsi="Verdana" w:cs="Verdana"/>
          <w:sz w:val="20"/>
          <w:szCs w:val="20"/>
        </w:rPr>
        <w:t xml:space="preserve">La Oficina de Control Interno agradece la contextualización realizada respecto a la gestión compartida del inventario de equipos de cómputo entre la Oficina de Tecnologías y el Área de Almacén, así como la </w:t>
      </w:r>
      <w:r w:rsidR="00C53309">
        <w:rPr>
          <w:rFonts w:ascii="Verdana" w:eastAsia="Verdana" w:hAnsi="Verdana" w:cs="Verdana"/>
          <w:sz w:val="20"/>
          <w:szCs w:val="20"/>
        </w:rPr>
        <w:t>claridad</w:t>
      </w:r>
      <w:r w:rsidRPr="00BB4120">
        <w:rPr>
          <w:rFonts w:ascii="Verdana" w:eastAsia="Verdana" w:hAnsi="Verdana" w:cs="Verdana"/>
          <w:sz w:val="20"/>
          <w:szCs w:val="20"/>
        </w:rPr>
        <w:t xml:space="preserve"> sobre la distribución de la información técnica y patrimonial de los activos.</w:t>
      </w:r>
    </w:p>
    <w:p w14:paraId="6274C916" w14:textId="77777777" w:rsidR="00BB4120" w:rsidRPr="00BB4120" w:rsidRDefault="00BB4120" w:rsidP="00BB4120">
      <w:pPr>
        <w:tabs>
          <w:tab w:val="left" w:pos="2325"/>
          <w:tab w:val="center" w:pos="4702"/>
        </w:tabs>
        <w:spacing w:after="0" w:line="240" w:lineRule="auto"/>
        <w:jc w:val="both"/>
        <w:rPr>
          <w:rFonts w:ascii="Verdana" w:eastAsia="Verdana" w:hAnsi="Verdana" w:cs="Verdana"/>
          <w:sz w:val="20"/>
          <w:szCs w:val="20"/>
        </w:rPr>
      </w:pPr>
    </w:p>
    <w:p w14:paraId="4F783E5F" w14:textId="77777777" w:rsidR="00C53309" w:rsidRPr="00C53309" w:rsidRDefault="00BB4120" w:rsidP="00C53309">
      <w:pPr>
        <w:tabs>
          <w:tab w:val="left" w:pos="2325"/>
          <w:tab w:val="center" w:pos="4702"/>
        </w:tabs>
        <w:spacing w:after="0" w:line="240" w:lineRule="auto"/>
        <w:ind w:left="720"/>
        <w:jc w:val="both"/>
        <w:rPr>
          <w:rFonts w:ascii="Verdana" w:eastAsia="Verdana" w:hAnsi="Verdana" w:cs="Verdana"/>
          <w:sz w:val="20"/>
          <w:szCs w:val="20"/>
        </w:rPr>
      </w:pPr>
      <w:r w:rsidRPr="00BB4120">
        <w:rPr>
          <w:rFonts w:ascii="Verdana" w:eastAsia="Verdana" w:hAnsi="Verdana" w:cs="Verdana"/>
          <w:sz w:val="20"/>
          <w:szCs w:val="20"/>
        </w:rPr>
        <w:t xml:space="preserve">No obstante, </w:t>
      </w:r>
      <w:r w:rsidR="00C53309">
        <w:rPr>
          <w:rFonts w:ascii="Verdana" w:eastAsia="Verdana" w:hAnsi="Verdana" w:cs="Verdana"/>
          <w:sz w:val="20"/>
          <w:szCs w:val="20"/>
        </w:rPr>
        <w:t>teniendo en cuenta que la</w:t>
      </w:r>
      <w:r w:rsidRPr="00BB4120">
        <w:rPr>
          <w:rFonts w:ascii="Verdana" w:eastAsia="Verdana" w:hAnsi="Verdana" w:cs="Verdana"/>
          <w:sz w:val="20"/>
          <w:szCs w:val="20"/>
        </w:rPr>
        <w:t xml:space="preserve"> respuesta al requerimiento fue presentada de manera conjunta por ambas dependencias, se esperaba que esta permitiera evidenciar de manera integral los campos solicitados. En este sentido, la aclaración </w:t>
      </w:r>
      <w:r w:rsidR="00C53309">
        <w:rPr>
          <w:rFonts w:ascii="Verdana" w:eastAsia="Verdana" w:hAnsi="Verdana" w:cs="Verdana"/>
          <w:sz w:val="20"/>
          <w:szCs w:val="20"/>
        </w:rPr>
        <w:t>brindada</w:t>
      </w:r>
      <w:r w:rsidRPr="00BB4120">
        <w:rPr>
          <w:rFonts w:ascii="Verdana" w:eastAsia="Verdana" w:hAnsi="Verdana" w:cs="Verdana"/>
          <w:sz w:val="20"/>
          <w:szCs w:val="20"/>
        </w:rPr>
        <w:t xml:space="preserve"> </w:t>
      </w:r>
      <w:r w:rsidR="00C53309">
        <w:rPr>
          <w:rFonts w:ascii="Verdana" w:eastAsia="Verdana" w:hAnsi="Verdana" w:cs="Verdana"/>
          <w:sz w:val="20"/>
          <w:szCs w:val="20"/>
        </w:rPr>
        <w:t>aporta</w:t>
      </w:r>
      <w:r w:rsidRPr="00BB4120">
        <w:rPr>
          <w:rFonts w:ascii="Verdana" w:eastAsia="Verdana" w:hAnsi="Verdana" w:cs="Verdana"/>
          <w:sz w:val="20"/>
          <w:szCs w:val="20"/>
        </w:rPr>
        <w:t xml:space="preserve"> </w:t>
      </w:r>
      <w:r w:rsidR="00C53309" w:rsidRPr="00C53309">
        <w:rPr>
          <w:rFonts w:ascii="Verdana" w:eastAsia="Verdana" w:hAnsi="Verdana" w:cs="Verdana"/>
          <w:sz w:val="20"/>
          <w:szCs w:val="20"/>
        </w:rPr>
        <w:t>contexto para la comprensión del proceso; sin embargo, no desvirtúa lo señalado en el informe preliminar frente a la completitud de la información.</w:t>
      </w:r>
    </w:p>
    <w:p w14:paraId="52FDB0A8" w14:textId="77777777" w:rsidR="00C53309" w:rsidRPr="00C53309" w:rsidRDefault="00C53309" w:rsidP="00C53309">
      <w:pPr>
        <w:tabs>
          <w:tab w:val="left" w:pos="2325"/>
          <w:tab w:val="center" w:pos="4702"/>
        </w:tabs>
        <w:spacing w:after="0" w:line="240" w:lineRule="auto"/>
        <w:ind w:left="720"/>
        <w:jc w:val="both"/>
        <w:rPr>
          <w:rFonts w:ascii="Verdana" w:eastAsia="Verdana" w:hAnsi="Verdana" w:cs="Verdana"/>
          <w:sz w:val="20"/>
          <w:szCs w:val="20"/>
        </w:rPr>
      </w:pPr>
    </w:p>
    <w:p w14:paraId="17CD272D" w14:textId="77777777" w:rsidR="00C53309" w:rsidRDefault="00C53309" w:rsidP="00C53309">
      <w:pPr>
        <w:tabs>
          <w:tab w:val="left" w:pos="2325"/>
          <w:tab w:val="center" w:pos="4702"/>
        </w:tabs>
        <w:spacing w:after="0" w:line="240" w:lineRule="auto"/>
        <w:ind w:left="720"/>
        <w:jc w:val="both"/>
        <w:rPr>
          <w:rFonts w:ascii="Verdana" w:eastAsia="Verdana" w:hAnsi="Verdana" w:cs="Verdana"/>
          <w:sz w:val="20"/>
          <w:szCs w:val="20"/>
        </w:rPr>
      </w:pPr>
      <w:r w:rsidRPr="00C53309">
        <w:rPr>
          <w:rFonts w:ascii="Verdana" w:eastAsia="Verdana" w:hAnsi="Verdana" w:cs="Verdana"/>
          <w:sz w:val="20"/>
          <w:szCs w:val="20"/>
        </w:rPr>
        <w:t>Por lo anterior, no se realizan ajustes en este aspecto.</w:t>
      </w:r>
      <w:r w:rsidRPr="00C53309">
        <w:rPr>
          <w:rFonts w:ascii="Verdana" w:eastAsia="Verdana" w:hAnsi="Verdana" w:cs="Verdana"/>
          <w:sz w:val="20"/>
          <w:szCs w:val="20"/>
        </w:rPr>
        <w:t xml:space="preserve"> </w:t>
      </w:r>
    </w:p>
    <w:p w14:paraId="1359D6E5" w14:textId="77777777" w:rsidR="00C53309" w:rsidRDefault="00C53309" w:rsidP="00C53309">
      <w:pPr>
        <w:tabs>
          <w:tab w:val="left" w:pos="2325"/>
          <w:tab w:val="center" w:pos="4702"/>
        </w:tabs>
        <w:spacing w:after="0" w:line="240" w:lineRule="auto"/>
        <w:ind w:left="720"/>
        <w:jc w:val="both"/>
        <w:rPr>
          <w:rFonts w:ascii="Verdana" w:eastAsia="Verdana" w:hAnsi="Verdana" w:cs="Verdana"/>
          <w:sz w:val="20"/>
          <w:szCs w:val="20"/>
        </w:rPr>
      </w:pPr>
    </w:p>
    <w:p w14:paraId="3AB191F5" w14:textId="4137104B" w:rsidR="00BB4120" w:rsidRPr="00C53309" w:rsidRDefault="00C53309" w:rsidP="00C53309">
      <w:pPr>
        <w:pStyle w:val="Prrafodelista"/>
        <w:numPr>
          <w:ilvl w:val="0"/>
          <w:numId w:val="2"/>
        </w:numPr>
        <w:tabs>
          <w:tab w:val="left" w:pos="2325"/>
          <w:tab w:val="center" w:pos="4702"/>
        </w:tabs>
        <w:spacing w:after="0" w:line="240" w:lineRule="auto"/>
        <w:jc w:val="both"/>
        <w:rPr>
          <w:rFonts w:ascii="Verdana" w:eastAsia="Verdana" w:hAnsi="Verdana" w:cs="Verdana"/>
          <w:sz w:val="20"/>
          <w:szCs w:val="20"/>
        </w:rPr>
      </w:pPr>
      <w:r>
        <w:rPr>
          <w:rFonts w:ascii="Verdana" w:eastAsia="Verdana" w:hAnsi="Verdana" w:cs="Verdana"/>
          <w:sz w:val="20"/>
          <w:szCs w:val="20"/>
        </w:rPr>
        <w:t>Se</w:t>
      </w:r>
      <w:r w:rsidR="00BB4120" w:rsidRPr="00C53309">
        <w:rPr>
          <w:rFonts w:ascii="Verdana" w:eastAsia="Verdana" w:hAnsi="Verdana" w:cs="Verdana"/>
          <w:sz w:val="20"/>
          <w:szCs w:val="20"/>
        </w:rPr>
        <w:t xml:space="preserve"> toma nota de la precisión realizada respecto a la distribución de responsabilidades en el proceso de baja de bienes institucionales, en el cual la Oficina de Tecnologías participa desde el componente técnico y el Área</w:t>
      </w:r>
      <w:r>
        <w:rPr>
          <w:rFonts w:ascii="Verdana" w:eastAsia="Verdana" w:hAnsi="Verdana" w:cs="Verdana"/>
          <w:sz w:val="20"/>
          <w:szCs w:val="20"/>
        </w:rPr>
        <w:t xml:space="preserve"> Funcional</w:t>
      </w:r>
      <w:r w:rsidR="00BB4120" w:rsidRPr="00C53309">
        <w:rPr>
          <w:rFonts w:ascii="Verdana" w:eastAsia="Verdana" w:hAnsi="Verdana" w:cs="Verdana"/>
          <w:sz w:val="20"/>
          <w:szCs w:val="20"/>
        </w:rPr>
        <w:t xml:space="preserve"> de Almacén lidera la gestión administrativa y documental.</w:t>
      </w:r>
    </w:p>
    <w:p w14:paraId="1504B2BB" w14:textId="77777777" w:rsidR="00BB4120" w:rsidRDefault="00BB4120" w:rsidP="00BB4120">
      <w:pPr>
        <w:pStyle w:val="NormalWeb"/>
        <w:rPr>
          <w:rFonts w:ascii="Verdana" w:eastAsia="Verdana" w:hAnsi="Verdana" w:cs="Verdana"/>
          <w:sz w:val="20"/>
          <w:szCs w:val="20"/>
        </w:rPr>
      </w:pPr>
    </w:p>
    <w:p w14:paraId="5193A52C" w14:textId="77777777" w:rsidR="00C53309" w:rsidRDefault="00C53309" w:rsidP="00BB4120">
      <w:pPr>
        <w:pStyle w:val="NormalWeb"/>
        <w:ind w:left="720"/>
        <w:jc w:val="both"/>
        <w:rPr>
          <w:rFonts w:ascii="Verdana" w:eastAsia="Verdana" w:hAnsi="Verdana" w:cs="Verdana"/>
          <w:sz w:val="20"/>
          <w:szCs w:val="20"/>
        </w:rPr>
      </w:pPr>
    </w:p>
    <w:p w14:paraId="2E5006BA" w14:textId="77777777" w:rsidR="00C53309" w:rsidRDefault="00C53309" w:rsidP="00C53309">
      <w:pPr>
        <w:pStyle w:val="NormalWeb"/>
        <w:ind w:left="720"/>
        <w:jc w:val="both"/>
        <w:rPr>
          <w:rFonts w:ascii="Verdana" w:eastAsia="Verdana" w:hAnsi="Verdana" w:cs="Verdana"/>
          <w:sz w:val="20"/>
          <w:szCs w:val="20"/>
        </w:rPr>
      </w:pPr>
      <w:r w:rsidRPr="00C53309">
        <w:rPr>
          <w:rFonts w:ascii="Verdana" w:eastAsia="Verdana" w:hAnsi="Verdana" w:cs="Verdana"/>
          <w:sz w:val="20"/>
          <w:szCs w:val="20"/>
        </w:rPr>
        <w:lastRenderedPageBreak/>
        <w:t>Al respecto, es importante precisar que la observación formulada por la Oficina de Control Interno no está orientada a la gestión técnica del proceso, sino a la disponibilidad de soportes documentales que permitan evidenciar su ejecución durante la vigencia evaluada.</w:t>
      </w:r>
      <w:r w:rsidRPr="00C53309">
        <w:rPr>
          <w:rFonts w:ascii="Verdana" w:eastAsia="Verdana" w:hAnsi="Verdana" w:cs="Verdana"/>
          <w:sz w:val="20"/>
          <w:szCs w:val="20"/>
        </w:rPr>
        <w:t xml:space="preserve"> </w:t>
      </w:r>
    </w:p>
    <w:p w14:paraId="4D2F4C6F" w14:textId="77777777" w:rsidR="00C53309" w:rsidRPr="00C53309" w:rsidRDefault="00C53309" w:rsidP="00C53309">
      <w:pPr>
        <w:pStyle w:val="NormalWeb"/>
        <w:ind w:left="720"/>
        <w:jc w:val="both"/>
        <w:rPr>
          <w:rFonts w:ascii="Verdana" w:hAnsi="Verdana"/>
          <w:sz w:val="20"/>
          <w:szCs w:val="20"/>
        </w:rPr>
      </w:pPr>
      <w:r w:rsidRPr="00C53309">
        <w:rPr>
          <w:rFonts w:ascii="Verdana" w:eastAsia="Verdana" w:hAnsi="Verdana" w:cs="Verdana"/>
          <w:sz w:val="20"/>
          <w:szCs w:val="20"/>
        </w:rPr>
        <w:t>En ese sentido, no se generan ajustes en el informe.</w:t>
      </w:r>
      <w:r w:rsidRPr="00C53309">
        <w:rPr>
          <w:rFonts w:ascii="Verdana" w:eastAsia="Verdana" w:hAnsi="Verdana" w:cs="Verdana"/>
          <w:sz w:val="20"/>
          <w:szCs w:val="20"/>
        </w:rPr>
        <w:t xml:space="preserve"> </w:t>
      </w:r>
    </w:p>
    <w:p w14:paraId="525EBD52" w14:textId="0EA0E2F3" w:rsidR="00BB4120" w:rsidRPr="00BB4120" w:rsidRDefault="00BB4120" w:rsidP="00BB4120">
      <w:pPr>
        <w:pStyle w:val="NormalWeb"/>
        <w:numPr>
          <w:ilvl w:val="0"/>
          <w:numId w:val="2"/>
        </w:numPr>
        <w:jc w:val="both"/>
        <w:rPr>
          <w:rFonts w:ascii="Verdana" w:hAnsi="Verdana"/>
          <w:sz w:val="20"/>
          <w:szCs w:val="20"/>
        </w:rPr>
      </w:pPr>
      <w:r w:rsidRPr="00BB4120">
        <w:rPr>
          <w:rFonts w:ascii="Verdana" w:hAnsi="Verdana"/>
          <w:sz w:val="20"/>
          <w:szCs w:val="20"/>
        </w:rPr>
        <w:t>La Oficina de Control Interno reconoce la información suministrada respecto al proceso de rediseño institucional adelantado durante la vigencia 2025, así como las acciones que la Oficina de Tecnologías de la Información ha venido desarrollando para la actualización y fortalecimiento de los instrumentos estratégicos y de gestión del proceso.</w:t>
      </w:r>
    </w:p>
    <w:p w14:paraId="1791E701" w14:textId="6810779D" w:rsidR="00BB4120" w:rsidRPr="00BB4120" w:rsidRDefault="00BB4120" w:rsidP="00BB4120">
      <w:pPr>
        <w:pStyle w:val="NormalWeb"/>
        <w:ind w:left="720"/>
        <w:jc w:val="both"/>
        <w:rPr>
          <w:rFonts w:ascii="Verdana" w:hAnsi="Verdana"/>
          <w:sz w:val="20"/>
          <w:szCs w:val="20"/>
        </w:rPr>
      </w:pPr>
      <w:r w:rsidRPr="00BB4120">
        <w:rPr>
          <w:rFonts w:ascii="Verdana" w:hAnsi="Verdana"/>
          <w:sz w:val="20"/>
          <w:szCs w:val="20"/>
        </w:rPr>
        <w:t>En este sentido, se realiz</w:t>
      </w:r>
      <w:r>
        <w:rPr>
          <w:rFonts w:ascii="Verdana" w:hAnsi="Verdana"/>
          <w:sz w:val="20"/>
          <w:szCs w:val="20"/>
        </w:rPr>
        <w:t>ó</w:t>
      </w:r>
      <w:r w:rsidRPr="00BB4120">
        <w:rPr>
          <w:rFonts w:ascii="Verdana" w:hAnsi="Verdana"/>
          <w:sz w:val="20"/>
          <w:szCs w:val="20"/>
        </w:rPr>
        <w:t xml:space="preserve"> un ajuste en el informe final con el fin de incluir que, de acuerdo con lo informado por la dependencia, actualmente se adelanta un proceso de armonización documental para alinear los instrumentos del Sistema Integrado de Gestión con la nueva estructura organizacional.</w:t>
      </w:r>
    </w:p>
    <w:p w14:paraId="6156FA9B" w14:textId="23603984" w:rsidR="00BB4120" w:rsidRPr="00BB4120" w:rsidRDefault="00BB4120" w:rsidP="00BB4120">
      <w:pPr>
        <w:pStyle w:val="NormalWeb"/>
        <w:ind w:left="720"/>
        <w:jc w:val="both"/>
        <w:rPr>
          <w:rFonts w:ascii="Verdana" w:hAnsi="Verdana"/>
          <w:sz w:val="20"/>
          <w:szCs w:val="20"/>
        </w:rPr>
      </w:pPr>
      <w:r w:rsidRPr="00BB4120">
        <w:rPr>
          <w:rFonts w:ascii="Verdana" w:hAnsi="Verdana"/>
          <w:sz w:val="20"/>
          <w:szCs w:val="20"/>
        </w:rPr>
        <w:t>No obstante, teniendo en cuenta que al momento de la verificación se evidenció que algunos documentos aún contienen referencias a la estructura organizacional anterior, se mantiene la observación y la recomendación formulada, con el fin de que este proceso de actualización pueda ser priorizado y culminado de manera oportuna.</w:t>
      </w:r>
    </w:p>
    <w:p w14:paraId="0A2CD96D" w14:textId="32FF4E29" w:rsidR="00BB4120" w:rsidRDefault="00C53309" w:rsidP="009459F5">
      <w:pPr>
        <w:pStyle w:val="NormalWeb"/>
        <w:numPr>
          <w:ilvl w:val="0"/>
          <w:numId w:val="2"/>
        </w:numPr>
        <w:spacing w:before="0" w:beforeAutospacing="0" w:after="0" w:afterAutospacing="0"/>
        <w:rPr>
          <w:rFonts w:ascii="Verdana" w:hAnsi="Verdana"/>
          <w:sz w:val="20"/>
          <w:szCs w:val="20"/>
        </w:rPr>
      </w:pPr>
      <w:r w:rsidRPr="00C53309">
        <w:rPr>
          <w:rFonts w:ascii="Verdana" w:hAnsi="Verdana"/>
          <w:sz w:val="20"/>
          <w:szCs w:val="20"/>
        </w:rPr>
        <w:t>Se agradece la información suministrada sobre los controles técnicos y administrativos implementados por la entidad para garantizar el uso legal del software.</w:t>
      </w:r>
    </w:p>
    <w:p w14:paraId="0766445E" w14:textId="77777777" w:rsidR="00C53309" w:rsidRPr="00C53309" w:rsidRDefault="00C53309" w:rsidP="00C53309">
      <w:pPr>
        <w:pStyle w:val="NormalWeb"/>
        <w:spacing w:before="0" w:beforeAutospacing="0" w:after="0" w:afterAutospacing="0"/>
        <w:ind w:left="720"/>
        <w:rPr>
          <w:rFonts w:ascii="Verdana" w:hAnsi="Verdana"/>
          <w:sz w:val="20"/>
          <w:szCs w:val="20"/>
        </w:rPr>
      </w:pPr>
    </w:p>
    <w:p w14:paraId="4FD403F9" w14:textId="77777777" w:rsidR="00C53309" w:rsidRDefault="00BB4120" w:rsidP="00C53309">
      <w:pPr>
        <w:pStyle w:val="NormalWeb"/>
        <w:spacing w:before="0" w:beforeAutospacing="0"/>
        <w:ind w:left="720"/>
        <w:rPr>
          <w:rFonts w:ascii="Verdana" w:eastAsia="Verdana" w:hAnsi="Verdana"/>
          <w:sz w:val="20"/>
          <w:szCs w:val="20"/>
        </w:rPr>
      </w:pPr>
      <w:r w:rsidRPr="00BB4120">
        <w:rPr>
          <w:rFonts w:ascii="Verdana" w:hAnsi="Verdana"/>
          <w:sz w:val="20"/>
          <w:szCs w:val="20"/>
        </w:rPr>
        <w:t xml:space="preserve">En este sentido, </w:t>
      </w:r>
      <w:r w:rsidR="00C53309" w:rsidRPr="00C53309">
        <w:rPr>
          <w:rFonts w:ascii="Verdana" w:hAnsi="Verdana"/>
          <w:sz w:val="20"/>
          <w:szCs w:val="20"/>
        </w:rPr>
        <w:t>estos elementos serán incorporados en el informe final, con el fin de complementar el análisis realizado y reflejar de manera más completa los mecanismos de control existentes en la entidad.</w:t>
      </w:r>
      <w:r w:rsidR="00C53309" w:rsidRPr="00C53309">
        <w:rPr>
          <w:rFonts w:ascii="Verdana" w:eastAsia="Verdana" w:hAnsi="Verdana"/>
          <w:sz w:val="20"/>
          <w:szCs w:val="20"/>
        </w:rPr>
        <w:t xml:space="preserve"> </w:t>
      </w:r>
    </w:p>
    <w:p w14:paraId="2C3CE4BB" w14:textId="13A93A8E" w:rsidR="00BB4120" w:rsidRPr="00BB4120" w:rsidRDefault="00BB4120" w:rsidP="00C53309">
      <w:pPr>
        <w:pStyle w:val="NormalWeb"/>
        <w:spacing w:before="0" w:beforeAutospacing="0"/>
        <w:rPr>
          <w:rFonts w:ascii="Verdana" w:eastAsia="Verdana" w:hAnsi="Verdana" w:cs="Verdana"/>
          <w:sz w:val="20"/>
          <w:szCs w:val="20"/>
        </w:rPr>
      </w:pPr>
      <w:r w:rsidRPr="00BB4120">
        <w:rPr>
          <w:rFonts w:ascii="Verdana" w:eastAsia="Verdana" w:hAnsi="Verdana" w:cs="Verdana"/>
          <w:sz w:val="20"/>
          <w:szCs w:val="20"/>
        </w:rPr>
        <w:t>Frente a las consideraciones finales presentadas, la Oficina de Control Interno se permite señalar que las observaciones contenidas en el informe preliminar no se limitan únicamente a aspectos de ajuste documental, sino que están orientadas a la necesidad de armonizar los instrumentos del Sistema Integrado de Gestión con la estructura organizacional vigente del Instituto.</w:t>
      </w:r>
    </w:p>
    <w:p w14:paraId="371F9FC5" w14:textId="77777777" w:rsidR="00BB4120" w:rsidRPr="00BB4120" w:rsidRDefault="00BB4120" w:rsidP="00BB4120">
      <w:pPr>
        <w:tabs>
          <w:tab w:val="left" w:pos="2325"/>
          <w:tab w:val="center" w:pos="4702"/>
        </w:tabs>
        <w:spacing w:after="0" w:line="240" w:lineRule="auto"/>
        <w:jc w:val="both"/>
        <w:rPr>
          <w:rFonts w:ascii="Verdana" w:eastAsia="Verdana" w:hAnsi="Verdana" w:cs="Verdana"/>
          <w:sz w:val="20"/>
          <w:szCs w:val="20"/>
        </w:rPr>
      </w:pPr>
      <w:r w:rsidRPr="00BB4120">
        <w:rPr>
          <w:rFonts w:ascii="Verdana" w:eastAsia="Verdana" w:hAnsi="Verdana" w:cs="Verdana"/>
          <w:sz w:val="20"/>
          <w:szCs w:val="20"/>
        </w:rPr>
        <w:t>En este sentido, la permanencia de documentos desactualizados puede generar interpretaciones ambiguas en relación con la asignación de responsabilidades y la ejecución de actividades, lo cual podría afectar la adecuada implementación de los controles definidos en los procesos institucionales.</w:t>
      </w:r>
    </w:p>
    <w:p w14:paraId="53410721" w14:textId="77777777" w:rsidR="00BB4120" w:rsidRPr="00BB4120" w:rsidRDefault="00BB4120" w:rsidP="00BB4120">
      <w:pPr>
        <w:tabs>
          <w:tab w:val="left" w:pos="2325"/>
          <w:tab w:val="center" w:pos="4702"/>
        </w:tabs>
        <w:spacing w:after="0" w:line="240" w:lineRule="auto"/>
        <w:jc w:val="both"/>
        <w:rPr>
          <w:rFonts w:ascii="Verdana" w:eastAsia="Verdana" w:hAnsi="Verdana" w:cs="Verdana"/>
          <w:sz w:val="20"/>
          <w:szCs w:val="20"/>
        </w:rPr>
      </w:pPr>
    </w:p>
    <w:p w14:paraId="2321ABEC" w14:textId="5DCD39B9" w:rsidR="00C53309" w:rsidRDefault="00C53309" w:rsidP="00BB4120">
      <w:pPr>
        <w:tabs>
          <w:tab w:val="left" w:pos="2325"/>
          <w:tab w:val="center" w:pos="4702"/>
        </w:tabs>
        <w:spacing w:after="0" w:line="240" w:lineRule="auto"/>
        <w:jc w:val="both"/>
        <w:rPr>
          <w:rFonts w:ascii="Verdana" w:eastAsia="Verdana" w:hAnsi="Verdana" w:cs="Verdana"/>
          <w:sz w:val="20"/>
          <w:szCs w:val="20"/>
        </w:rPr>
      </w:pPr>
    </w:p>
    <w:p w14:paraId="252C68DE" w14:textId="278EAEB6" w:rsidR="00C53309" w:rsidRPr="00C53309" w:rsidRDefault="00C53309" w:rsidP="00BB4120">
      <w:pPr>
        <w:tabs>
          <w:tab w:val="left" w:pos="2325"/>
          <w:tab w:val="center" w:pos="4702"/>
        </w:tabs>
        <w:spacing w:after="0" w:line="240" w:lineRule="auto"/>
        <w:jc w:val="both"/>
        <w:rPr>
          <w:rFonts w:ascii="Verdana" w:eastAsia="Verdana" w:hAnsi="Verdana" w:cs="Verdana"/>
          <w:sz w:val="20"/>
          <w:szCs w:val="20"/>
        </w:rPr>
      </w:pPr>
      <w:r w:rsidRPr="00C53309">
        <w:rPr>
          <w:rFonts w:ascii="Verdana" w:eastAsia="Verdana" w:hAnsi="Verdana" w:cs="Verdana"/>
          <w:sz w:val="20"/>
          <w:szCs w:val="20"/>
        </w:rPr>
        <w:lastRenderedPageBreak/>
        <w:t>Finalmente, desde la Oficina de Control Interno se reconoce la disposición de la Oficina de Tecnologías para aportar información y contexto al ejercicio realizado. Estos insumos permiten enriquecer el análisis y fortalecer el resultado del seguimiento. De igual manera, se reitera que las observaciones y recomendaciones formuladas tienen como propósito contribuir al mejoramiento continuo de la gestión institucional y al fortalecimiento de los controles asociados al uso legal del software en la entidad.</w:t>
      </w:r>
    </w:p>
    <w:p w14:paraId="3E0E81C4" w14:textId="77777777" w:rsidR="00D863C3" w:rsidRDefault="00D863C3">
      <w:pPr>
        <w:tabs>
          <w:tab w:val="left" w:pos="2325"/>
          <w:tab w:val="center" w:pos="4702"/>
        </w:tabs>
        <w:spacing w:after="0" w:line="240" w:lineRule="auto"/>
        <w:rPr>
          <w:rFonts w:ascii="Verdana" w:eastAsia="Verdana" w:hAnsi="Verdana" w:cs="Verdana"/>
          <w:sz w:val="20"/>
          <w:szCs w:val="20"/>
        </w:rPr>
      </w:pPr>
    </w:p>
    <w:p w14:paraId="4D9519DD" w14:textId="77777777" w:rsidR="00D863C3" w:rsidRDefault="00000000">
      <w:pPr>
        <w:tabs>
          <w:tab w:val="left" w:pos="2325"/>
          <w:tab w:val="center" w:pos="4702"/>
        </w:tabs>
        <w:spacing w:after="0" w:line="240" w:lineRule="auto"/>
        <w:rPr>
          <w:rFonts w:ascii="Verdana" w:eastAsia="Verdana" w:hAnsi="Verdana" w:cs="Verdana"/>
          <w:sz w:val="20"/>
          <w:szCs w:val="20"/>
        </w:rPr>
      </w:pPr>
      <w:r>
        <w:rPr>
          <w:rFonts w:ascii="Verdana" w:eastAsia="Verdana" w:hAnsi="Verdana" w:cs="Verdana"/>
          <w:sz w:val="20"/>
          <w:szCs w:val="20"/>
        </w:rPr>
        <w:t>Atentamente,</w:t>
      </w:r>
    </w:p>
    <w:p w14:paraId="6C0E0F12" w14:textId="77777777" w:rsidR="00D863C3" w:rsidRDefault="00D863C3">
      <w:pPr>
        <w:tabs>
          <w:tab w:val="left" w:pos="2325"/>
          <w:tab w:val="center" w:pos="4702"/>
        </w:tabs>
        <w:spacing w:after="0" w:line="240" w:lineRule="auto"/>
        <w:rPr>
          <w:rFonts w:ascii="Verdana" w:eastAsia="Verdana" w:hAnsi="Verdana" w:cs="Verdana"/>
          <w:sz w:val="20"/>
          <w:szCs w:val="20"/>
        </w:rPr>
      </w:pPr>
    </w:p>
    <w:p w14:paraId="726512EE" w14:textId="77777777" w:rsidR="00D863C3" w:rsidRDefault="00D863C3">
      <w:pPr>
        <w:tabs>
          <w:tab w:val="left" w:pos="2325"/>
          <w:tab w:val="center" w:pos="4702"/>
        </w:tabs>
        <w:spacing w:after="0" w:line="240" w:lineRule="auto"/>
        <w:rPr>
          <w:rFonts w:ascii="Verdana" w:eastAsia="Verdana" w:hAnsi="Verdana" w:cs="Verdana"/>
          <w:sz w:val="20"/>
          <w:szCs w:val="20"/>
        </w:rPr>
      </w:pPr>
    </w:p>
    <w:p w14:paraId="2A943C28" w14:textId="77777777" w:rsidR="00D863C3" w:rsidRDefault="00D863C3">
      <w:pPr>
        <w:tabs>
          <w:tab w:val="left" w:pos="2325"/>
          <w:tab w:val="center" w:pos="4702"/>
        </w:tabs>
        <w:spacing w:after="0" w:line="240" w:lineRule="auto"/>
        <w:rPr>
          <w:rFonts w:ascii="Verdana" w:eastAsia="Verdana" w:hAnsi="Verdana" w:cs="Verdana"/>
          <w:sz w:val="20"/>
          <w:szCs w:val="20"/>
        </w:rPr>
      </w:pPr>
    </w:p>
    <w:p w14:paraId="13D4A293" w14:textId="77777777" w:rsidR="00D863C3" w:rsidRDefault="00D863C3">
      <w:pPr>
        <w:tabs>
          <w:tab w:val="left" w:pos="2325"/>
          <w:tab w:val="center" w:pos="4702"/>
        </w:tabs>
        <w:spacing w:after="0" w:line="240" w:lineRule="auto"/>
        <w:rPr>
          <w:rFonts w:ascii="Verdana" w:eastAsia="Verdana" w:hAnsi="Verdana" w:cs="Verdana"/>
          <w:sz w:val="20"/>
          <w:szCs w:val="20"/>
        </w:rPr>
      </w:pPr>
    </w:p>
    <w:p w14:paraId="5F6DA549" w14:textId="7B4BA4E6" w:rsidR="00D863C3" w:rsidRDefault="00C53309">
      <w:pPr>
        <w:spacing w:after="0" w:line="276" w:lineRule="auto"/>
        <w:jc w:val="both"/>
        <w:rPr>
          <w:rFonts w:ascii="Verdana" w:eastAsia="Verdana" w:hAnsi="Verdana" w:cs="Verdana"/>
          <w:b/>
          <w:sz w:val="20"/>
          <w:szCs w:val="20"/>
        </w:rPr>
      </w:pPr>
      <w:r>
        <w:rPr>
          <w:rFonts w:ascii="Verdana" w:eastAsia="Verdana" w:hAnsi="Verdana" w:cs="Verdana"/>
          <w:b/>
          <w:sz w:val="20"/>
          <w:szCs w:val="20"/>
        </w:rPr>
        <w:t>Myriam Yolanda Carrillo Moncada</w:t>
      </w:r>
    </w:p>
    <w:p w14:paraId="0C6AD117" w14:textId="59FB2B2D" w:rsidR="00D863C3" w:rsidRDefault="00C53309">
      <w:pPr>
        <w:spacing w:after="0" w:line="276" w:lineRule="auto"/>
        <w:jc w:val="both"/>
        <w:rPr>
          <w:rFonts w:ascii="Verdana" w:eastAsia="Verdana" w:hAnsi="Verdana" w:cs="Verdana"/>
          <w:sz w:val="20"/>
          <w:szCs w:val="20"/>
        </w:rPr>
      </w:pPr>
      <w:r>
        <w:rPr>
          <w:rFonts w:ascii="Verdana" w:eastAsia="Verdana" w:hAnsi="Verdana" w:cs="Verdana"/>
          <w:sz w:val="20"/>
          <w:szCs w:val="20"/>
        </w:rPr>
        <w:t>Profesional Especializada</w:t>
      </w:r>
    </w:p>
    <w:p w14:paraId="635C8866" w14:textId="31F2C468" w:rsidR="00D863C3" w:rsidRDefault="00C53309">
      <w:pPr>
        <w:tabs>
          <w:tab w:val="left" w:pos="2325"/>
          <w:tab w:val="center" w:pos="4702"/>
        </w:tabs>
        <w:spacing w:after="0" w:line="240" w:lineRule="auto"/>
        <w:rPr>
          <w:rFonts w:ascii="Verdana" w:eastAsia="Verdana" w:hAnsi="Verdana" w:cs="Verdana"/>
          <w:sz w:val="20"/>
          <w:szCs w:val="20"/>
        </w:rPr>
      </w:pPr>
      <w:r>
        <w:rPr>
          <w:rFonts w:ascii="Verdana" w:eastAsia="Verdana" w:hAnsi="Verdana" w:cs="Verdana"/>
          <w:sz w:val="20"/>
          <w:szCs w:val="20"/>
        </w:rPr>
        <w:t>Oficina de Control Interno</w:t>
      </w:r>
    </w:p>
    <w:p w14:paraId="6FE99F46" w14:textId="77777777" w:rsidR="00D863C3" w:rsidRDefault="00D863C3">
      <w:pPr>
        <w:tabs>
          <w:tab w:val="left" w:pos="2325"/>
          <w:tab w:val="center" w:pos="4702"/>
        </w:tabs>
        <w:spacing w:after="0" w:line="240" w:lineRule="auto"/>
        <w:rPr>
          <w:rFonts w:ascii="Verdana" w:eastAsia="Verdana" w:hAnsi="Verdana" w:cs="Verdana"/>
          <w:sz w:val="20"/>
          <w:szCs w:val="20"/>
        </w:rPr>
      </w:pPr>
    </w:p>
    <w:p w14:paraId="3219D10B" w14:textId="77777777" w:rsidR="00D863C3" w:rsidRDefault="00D863C3">
      <w:pPr>
        <w:tabs>
          <w:tab w:val="left" w:pos="2325"/>
          <w:tab w:val="center" w:pos="4702"/>
        </w:tabs>
        <w:spacing w:after="0" w:line="240" w:lineRule="auto"/>
        <w:rPr>
          <w:rFonts w:ascii="Verdana" w:eastAsia="Verdana" w:hAnsi="Verdana" w:cs="Verdana"/>
          <w:sz w:val="20"/>
          <w:szCs w:val="20"/>
        </w:rPr>
      </w:pPr>
    </w:p>
    <w:p w14:paraId="68BDD7DB" w14:textId="45B311B4" w:rsidR="00D863C3" w:rsidRDefault="00000000">
      <w:pPr>
        <w:tabs>
          <w:tab w:val="left" w:pos="2325"/>
          <w:tab w:val="center" w:pos="4702"/>
        </w:tabs>
        <w:spacing w:after="0" w:line="240" w:lineRule="auto"/>
        <w:rPr>
          <w:rFonts w:ascii="Verdana" w:eastAsia="Verdana" w:hAnsi="Verdana" w:cs="Verdana"/>
          <w:sz w:val="20"/>
          <w:szCs w:val="20"/>
        </w:rPr>
      </w:pPr>
      <w:r>
        <w:rPr>
          <w:rFonts w:ascii="Verdana" w:eastAsia="Verdana" w:hAnsi="Verdana" w:cs="Verdana"/>
          <w:sz w:val="20"/>
          <w:szCs w:val="20"/>
        </w:rPr>
        <w:t>Transcriptor:</w:t>
      </w:r>
      <w:r w:rsidR="00C53309">
        <w:rPr>
          <w:rFonts w:ascii="Verdana" w:eastAsia="Verdana" w:hAnsi="Verdana" w:cs="Verdana"/>
          <w:sz w:val="20"/>
          <w:szCs w:val="20"/>
        </w:rPr>
        <w:t xml:space="preserve"> </w:t>
      </w:r>
      <w:r w:rsidR="00C53309" w:rsidRPr="00C53309">
        <w:rPr>
          <w:rFonts w:ascii="Verdana" w:eastAsia="Verdana" w:hAnsi="Verdana" w:cs="Verdana"/>
          <w:sz w:val="20"/>
          <w:szCs w:val="20"/>
        </w:rPr>
        <w:t>LAURA VANESSA ORJUELA BARAHONA</w:t>
      </w:r>
      <w:r w:rsidR="00C53309">
        <w:rPr>
          <w:rFonts w:ascii="Verdana" w:eastAsia="Verdana" w:hAnsi="Verdana" w:cs="Verdana"/>
          <w:sz w:val="20"/>
          <w:szCs w:val="20"/>
        </w:rPr>
        <w:t xml:space="preserve"> – Contratista Oficina de Control Interno</w:t>
      </w:r>
    </w:p>
    <w:p w14:paraId="560ED190" w14:textId="77777777" w:rsidR="00D863C3" w:rsidRDefault="00D863C3">
      <w:pPr>
        <w:spacing w:line="276" w:lineRule="auto"/>
        <w:jc w:val="both"/>
        <w:rPr>
          <w:rFonts w:ascii="Helvetica Neue" w:eastAsia="Helvetica Neue" w:hAnsi="Helvetica Neue" w:cs="Helvetica Neue"/>
        </w:rPr>
      </w:pPr>
    </w:p>
    <w:p w14:paraId="118A5576" w14:textId="77777777" w:rsidR="00D863C3" w:rsidRDefault="00D863C3">
      <w:pPr>
        <w:spacing w:line="276" w:lineRule="auto"/>
        <w:jc w:val="both"/>
        <w:rPr>
          <w:rFonts w:ascii="Helvetica Neue" w:eastAsia="Helvetica Neue" w:hAnsi="Helvetica Neue" w:cs="Helvetica Neue"/>
        </w:rPr>
      </w:pPr>
    </w:p>
    <w:p w14:paraId="02FD42AC" w14:textId="77777777" w:rsidR="00D863C3" w:rsidRDefault="00D863C3">
      <w:pPr>
        <w:rPr>
          <w:rFonts w:ascii="Helvetica Neue" w:eastAsia="Helvetica Neue" w:hAnsi="Helvetica Neue" w:cs="Helvetica Neue"/>
        </w:rPr>
      </w:pPr>
    </w:p>
    <w:p w14:paraId="48F379CE" w14:textId="77777777" w:rsidR="00D863C3" w:rsidRDefault="00D863C3">
      <w:pPr>
        <w:rPr>
          <w:rFonts w:ascii="Helvetica Neue" w:eastAsia="Helvetica Neue" w:hAnsi="Helvetica Neue" w:cs="Helvetica Neue"/>
        </w:rPr>
      </w:pPr>
      <w:bookmarkStart w:id="2" w:name="_heading=h.sbkdl9kueadr" w:colFirst="0" w:colLast="0"/>
      <w:bookmarkEnd w:id="2"/>
    </w:p>
    <w:sectPr w:rsidR="00D863C3">
      <w:headerReference w:type="default" r:id="rId8"/>
      <w:footerReference w:type="default" r:id="rId9"/>
      <w:pgSz w:w="12240" w:h="15840"/>
      <w:pgMar w:top="212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6B83F" w14:textId="77777777" w:rsidR="006D112D" w:rsidRDefault="006D112D">
      <w:pPr>
        <w:spacing w:after="0" w:line="240" w:lineRule="auto"/>
      </w:pPr>
      <w:r>
        <w:separator/>
      </w:r>
    </w:p>
  </w:endnote>
  <w:endnote w:type="continuationSeparator" w:id="0">
    <w:p w14:paraId="32B582A8" w14:textId="77777777" w:rsidR="006D112D" w:rsidRDefault="006D1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3 of 9 Barcode">
    <w:panose1 w:val="020B0604020202020204"/>
    <w:charset w:val="00"/>
    <w:family w:val="decorativ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20EE1" w14:textId="77777777" w:rsidR="00D863C3" w:rsidRDefault="00000000">
    <w:pPr>
      <w:pBdr>
        <w:top w:val="nil"/>
        <w:left w:val="nil"/>
        <w:bottom w:val="nil"/>
        <w:right w:val="nil"/>
        <w:between w:val="nil"/>
      </w:pBdr>
      <w:tabs>
        <w:tab w:val="center" w:pos="4419"/>
        <w:tab w:val="right" w:pos="8838"/>
      </w:tabs>
      <w:spacing w:after="0" w:line="240" w:lineRule="auto"/>
      <w:jc w:val="right"/>
      <w:rPr>
        <w:color w:val="000000"/>
      </w:rPr>
    </w:pPr>
    <w:r>
      <w:rPr>
        <w:color w:val="000000"/>
      </w:rPr>
      <w:t xml:space="preserve">Página| </w:t>
    </w:r>
    <w:r>
      <w:rPr>
        <w:color w:val="000000"/>
      </w:rPr>
      <w:fldChar w:fldCharType="begin"/>
    </w:r>
    <w:r>
      <w:rPr>
        <w:color w:val="000000"/>
      </w:rPr>
      <w:instrText>PAGE</w:instrText>
    </w:r>
    <w:r>
      <w:rPr>
        <w:color w:val="000000"/>
      </w:rPr>
      <w:fldChar w:fldCharType="separate"/>
    </w:r>
    <w:r w:rsidR="00BB4120">
      <w:rPr>
        <w:noProof/>
        <w:color w:val="000000"/>
      </w:rPr>
      <w:t>1</w:t>
    </w:r>
    <w:r>
      <w:rPr>
        <w:color w:val="000000"/>
      </w:rPr>
      <w:fldChar w:fldCharType="end"/>
    </w:r>
    <w:r>
      <w:rPr>
        <w:color w:val="000000"/>
      </w:rPr>
      <w:t xml:space="preserve"> </w:t>
    </w:r>
    <w:r>
      <w:rPr>
        <w:noProof/>
      </w:rPr>
      <w:drawing>
        <wp:anchor distT="0" distB="0" distL="114300" distR="114300" simplePos="0" relativeHeight="251659264" behindDoc="0" locked="0" layoutInCell="1" hidden="0" allowOverlap="1" wp14:anchorId="63D94BFC" wp14:editId="2244E275">
          <wp:simplePos x="0" y="0"/>
          <wp:positionH relativeFrom="column">
            <wp:posOffset>-337183</wp:posOffset>
          </wp:positionH>
          <wp:positionV relativeFrom="paragraph">
            <wp:posOffset>1758314</wp:posOffset>
          </wp:positionV>
          <wp:extent cx="5612130" cy="3156585"/>
          <wp:effectExtent l="0" t="0" r="0" b="0"/>
          <wp:wrapSquare wrapText="bothSides" distT="0" distB="0" distL="114300" distR="114300"/>
          <wp:docPr id="122310158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5612130" cy="315658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7B06929" wp14:editId="55BF2EBF">
          <wp:simplePos x="0" y="0"/>
          <wp:positionH relativeFrom="column">
            <wp:posOffset>-241934</wp:posOffset>
          </wp:positionH>
          <wp:positionV relativeFrom="paragraph">
            <wp:posOffset>-492124</wp:posOffset>
          </wp:positionV>
          <wp:extent cx="5297170" cy="914400"/>
          <wp:effectExtent l="0" t="0" r="0" b="0"/>
          <wp:wrapSquare wrapText="bothSides" distT="0" distB="0" distL="114300" distR="114300"/>
          <wp:docPr id="1223101590"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5432" t="28063" r="9028" b="45684"/>
                  <a:stretch>
                    <a:fillRect/>
                  </a:stretch>
                </pic:blipFill>
                <pic:spPr>
                  <a:xfrm>
                    <a:off x="0" y="0"/>
                    <a:ext cx="5297170" cy="914400"/>
                  </a:xfrm>
                  <a:prstGeom prst="rect">
                    <a:avLst/>
                  </a:prstGeom>
                  <a:ln/>
                </pic:spPr>
              </pic:pic>
            </a:graphicData>
          </a:graphic>
        </wp:anchor>
      </w:drawing>
    </w:r>
  </w:p>
  <w:p w14:paraId="0C71A602" w14:textId="77777777" w:rsidR="00D863C3" w:rsidRDefault="00D863C3">
    <w:pPr>
      <w:spacing w:after="0" w:line="276" w:lineRule="auto"/>
      <w:jc w:val="both"/>
      <w:rPr>
        <w:rFonts w:ascii="Helvetica Neue" w:eastAsia="Helvetica Neue" w:hAnsi="Helvetica Neue" w:cs="Helvetica Neu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CBD16" w14:textId="77777777" w:rsidR="006D112D" w:rsidRDefault="006D112D">
      <w:pPr>
        <w:spacing w:after="0" w:line="240" w:lineRule="auto"/>
      </w:pPr>
      <w:r>
        <w:separator/>
      </w:r>
    </w:p>
  </w:footnote>
  <w:footnote w:type="continuationSeparator" w:id="0">
    <w:p w14:paraId="3AEDCAFA" w14:textId="77777777" w:rsidR="006D112D" w:rsidRDefault="006D11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16A5C" w14:textId="77777777" w:rsidR="00D863C3" w:rsidRDefault="000000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0" distR="0" simplePos="0" relativeHeight="251658240" behindDoc="1" locked="0" layoutInCell="1" hidden="0" allowOverlap="1" wp14:anchorId="290A8D3C" wp14:editId="14D8FFC8">
          <wp:simplePos x="0" y="0"/>
          <wp:positionH relativeFrom="column">
            <wp:posOffset>-1085849</wp:posOffset>
          </wp:positionH>
          <wp:positionV relativeFrom="paragraph">
            <wp:posOffset>-447674</wp:posOffset>
          </wp:positionV>
          <wp:extent cx="7805784" cy="12805568"/>
          <wp:effectExtent l="0" t="0" r="0" b="0"/>
          <wp:wrapNone/>
          <wp:docPr id="122310159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 r="23"/>
                  <a:stretch>
                    <a:fillRect/>
                  </a:stretch>
                </pic:blipFill>
                <pic:spPr>
                  <a:xfrm>
                    <a:off x="0" y="0"/>
                    <a:ext cx="7805784" cy="12805568"/>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91DB6"/>
    <w:multiLevelType w:val="hybridMultilevel"/>
    <w:tmpl w:val="D77C2A88"/>
    <w:lvl w:ilvl="0" w:tplc="040A000F">
      <w:start w:val="1"/>
      <w:numFmt w:val="decimal"/>
      <w:lvlText w:val="%1."/>
      <w:lvlJc w:val="left"/>
      <w:pPr>
        <w:ind w:left="720" w:hanging="360"/>
      </w:pPr>
      <w:rPr>
        <w:rFonts w:hint="default"/>
        <w:b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599744E6"/>
    <w:multiLevelType w:val="hybridMultilevel"/>
    <w:tmpl w:val="1AFA49A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700017117">
    <w:abstractNumId w:val="1"/>
  </w:num>
  <w:num w:numId="2" w16cid:durableId="953243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3C3"/>
    <w:rsid w:val="006D112D"/>
    <w:rsid w:val="00BB4120"/>
    <w:rsid w:val="00C227AE"/>
    <w:rsid w:val="00C53309"/>
    <w:rsid w:val="00D863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6DFC3569"/>
  <w15:docId w15:val="{3E2A8B42-7E10-9445-A81E-3FF34187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CO" w:eastAsia="es-ES_trad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outlineLvl w:val="0"/>
    </w:pPr>
    <w:rPr>
      <w:color w:val="2F5496"/>
      <w:sz w:val="32"/>
      <w:szCs w:val="32"/>
    </w:rPr>
  </w:style>
  <w:style w:type="paragraph" w:styleId="Ttulo2">
    <w:name w:val="heading 2"/>
    <w:basedOn w:val="Normal"/>
    <w:next w:val="Normal"/>
    <w:uiPriority w:val="9"/>
    <w:semiHidden/>
    <w:unhideWhenUsed/>
    <w:qFormat/>
    <w:pPr>
      <w:keepNext/>
      <w:keepLines/>
      <w:spacing w:before="40" w:after="0"/>
      <w:outlineLvl w:val="1"/>
    </w:pPr>
    <w:rPr>
      <w:color w:val="2F5496"/>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uiPriority w:val="9"/>
    <w:rsid w:val="00083A3F"/>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uiPriority w:val="9"/>
    <w:rsid w:val="00083A3F"/>
    <w:rPr>
      <w:rFonts w:asciiTheme="majorHAnsi" w:eastAsiaTheme="majorEastAsia" w:hAnsiTheme="majorHAnsi" w:cstheme="majorBidi"/>
      <w:color w:val="2F5496" w:themeColor="accent1" w:themeShade="BF"/>
      <w:sz w:val="26"/>
      <w:szCs w:val="26"/>
    </w:rPr>
  </w:style>
  <w:style w:type="paragraph" w:styleId="Encabezadodemensaje">
    <w:name w:val="Message Header"/>
    <w:basedOn w:val="Normal"/>
    <w:link w:val="EncabezadodemensajeCar"/>
    <w:uiPriority w:val="99"/>
    <w:unhideWhenUsed/>
    <w:rsid w:val="00083A3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083A3F"/>
    <w:rPr>
      <w:rFonts w:asciiTheme="majorHAnsi" w:eastAsiaTheme="majorEastAsia" w:hAnsiTheme="majorHAnsi" w:cstheme="majorBidi"/>
      <w:sz w:val="24"/>
      <w:szCs w:val="24"/>
      <w:shd w:val="pct20" w:color="auto" w:fill="auto"/>
    </w:rPr>
  </w:style>
  <w:style w:type="paragraph" w:styleId="Textoindependiente">
    <w:name w:val="Body Text"/>
    <w:basedOn w:val="Normal"/>
    <w:link w:val="TextoindependienteCar"/>
    <w:uiPriority w:val="99"/>
    <w:unhideWhenUsed/>
    <w:rsid w:val="00083A3F"/>
    <w:pPr>
      <w:spacing w:after="120"/>
    </w:pPr>
  </w:style>
  <w:style w:type="character" w:customStyle="1" w:styleId="TextoindependienteCar">
    <w:name w:val="Texto independiente Car"/>
    <w:basedOn w:val="Fuentedeprrafopredeter"/>
    <w:link w:val="Textoindependiente"/>
    <w:uiPriority w:val="99"/>
    <w:rsid w:val="00083A3F"/>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BB412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17942">
      <w:bodyDiv w:val="1"/>
      <w:marLeft w:val="0"/>
      <w:marRight w:val="0"/>
      <w:marTop w:val="0"/>
      <w:marBottom w:val="0"/>
      <w:divBdr>
        <w:top w:val="none" w:sz="0" w:space="0" w:color="auto"/>
        <w:left w:val="none" w:sz="0" w:space="0" w:color="auto"/>
        <w:bottom w:val="none" w:sz="0" w:space="0" w:color="auto"/>
        <w:right w:val="none" w:sz="0" w:space="0" w:color="auto"/>
      </w:divBdr>
    </w:div>
    <w:div w:id="462119925">
      <w:bodyDiv w:val="1"/>
      <w:marLeft w:val="0"/>
      <w:marRight w:val="0"/>
      <w:marTop w:val="0"/>
      <w:marBottom w:val="0"/>
      <w:divBdr>
        <w:top w:val="none" w:sz="0" w:space="0" w:color="auto"/>
        <w:left w:val="none" w:sz="0" w:space="0" w:color="auto"/>
        <w:bottom w:val="none" w:sz="0" w:space="0" w:color="auto"/>
        <w:right w:val="none" w:sz="0" w:space="0" w:color="auto"/>
      </w:divBdr>
    </w:div>
    <w:div w:id="518348346">
      <w:bodyDiv w:val="1"/>
      <w:marLeft w:val="0"/>
      <w:marRight w:val="0"/>
      <w:marTop w:val="0"/>
      <w:marBottom w:val="0"/>
      <w:divBdr>
        <w:top w:val="none" w:sz="0" w:space="0" w:color="auto"/>
        <w:left w:val="none" w:sz="0" w:space="0" w:color="auto"/>
        <w:bottom w:val="none" w:sz="0" w:space="0" w:color="auto"/>
        <w:right w:val="none" w:sz="0" w:space="0" w:color="auto"/>
      </w:divBdr>
    </w:div>
    <w:div w:id="627248413">
      <w:bodyDiv w:val="1"/>
      <w:marLeft w:val="0"/>
      <w:marRight w:val="0"/>
      <w:marTop w:val="0"/>
      <w:marBottom w:val="0"/>
      <w:divBdr>
        <w:top w:val="none" w:sz="0" w:space="0" w:color="auto"/>
        <w:left w:val="none" w:sz="0" w:space="0" w:color="auto"/>
        <w:bottom w:val="none" w:sz="0" w:space="0" w:color="auto"/>
        <w:right w:val="none" w:sz="0" w:space="0" w:color="auto"/>
      </w:divBdr>
    </w:div>
    <w:div w:id="885608148">
      <w:bodyDiv w:val="1"/>
      <w:marLeft w:val="0"/>
      <w:marRight w:val="0"/>
      <w:marTop w:val="0"/>
      <w:marBottom w:val="0"/>
      <w:divBdr>
        <w:top w:val="none" w:sz="0" w:space="0" w:color="auto"/>
        <w:left w:val="none" w:sz="0" w:space="0" w:color="auto"/>
        <w:bottom w:val="none" w:sz="0" w:space="0" w:color="auto"/>
        <w:right w:val="none" w:sz="0" w:space="0" w:color="auto"/>
      </w:divBdr>
    </w:div>
    <w:div w:id="1056930823">
      <w:bodyDiv w:val="1"/>
      <w:marLeft w:val="0"/>
      <w:marRight w:val="0"/>
      <w:marTop w:val="0"/>
      <w:marBottom w:val="0"/>
      <w:divBdr>
        <w:top w:val="none" w:sz="0" w:space="0" w:color="auto"/>
        <w:left w:val="none" w:sz="0" w:space="0" w:color="auto"/>
        <w:bottom w:val="none" w:sz="0" w:space="0" w:color="auto"/>
        <w:right w:val="none" w:sz="0" w:space="0" w:color="auto"/>
      </w:divBdr>
    </w:div>
    <w:div w:id="1061249035">
      <w:bodyDiv w:val="1"/>
      <w:marLeft w:val="0"/>
      <w:marRight w:val="0"/>
      <w:marTop w:val="0"/>
      <w:marBottom w:val="0"/>
      <w:divBdr>
        <w:top w:val="none" w:sz="0" w:space="0" w:color="auto"/>
        <w:left w:val="none" w:sz="0" w:space="0" w:color="auto"/>
        <w:bottom w:val="none" w:sz="0" w:space="0" w:color="auto"/>
        <w:right w:val="none" w:sz="0" w:space="0" w:color="auto"/>
      </w:divBdr>
    </w:div>
    <w:div w:id="1266765209">
      <w:bodyDiv w:val="1"/>
      <w:marLeft w:val="0"/>
      <w:marRight w:val="0"/>
      <w:marTop w:val="0"/>
      <w:marBottom w:val="0"/>
      <w:divBdr>
        <w:top w:val="none" w:sz="0" w:space="0" w:color="auto"/>
        <w:left w:val="none" w:sz="0" w:space="0" w:color="auto"/>
        <w:bottom w:val="none" w:sz="0" w:space="0" w:color="auto"/>
        <w:right w:val="none" w:sz="0" w:space="0" w:color="auto"/>
      </w:divBdr>
    </w:div>
    <w:div w:id="1411464032">
      <w:bodyDiv w:val="1"/>
      <w:marLeft w:val="0"/>
      <w:marRight w:val="0"/>
      <w:marTop w:val="0"/>
      <w:marBottom w:val="0"/>
      <w:divBdr>
        <w:top w:val="none" w:sz="0" w:space="0" w:color="auto"/>
        <w:left w:val="none" w:sz="0" w:space="0" w:color="auto"/>
        <w:bottom w:val="none" w:sz="0" w:space="0" w:color="auto"/>
        <w:right w:val="none" w:sz="0" w:space="0" w:color="auto"/>
      </w:divBdr>
    </w:div>
    <w:div w:id="1791850406">
      <w:bodyDiv w:val="1"/>
      <w:marLeft w:val="0"/>
      <w:marRight w:val="0"/>
      <w:marTop w:val="0"/>
      <w:marBottom w:val="0"/>
      <w:divBdr>
        <w:top w:val="none" w:sz="0" w:space="0" w:color="auto"/>
        <w:left w:val="none" w:sz="0" w:space="0" w:color="auto"/>
        <w:bottom w:val="none" w:sz="0" w:space="0" w:color="auto"/>
        <w:right w:val="none" w:sz="0" w:space="0" w:color="auto"/>
      </w:divBdr>
    </w:div>
    <w:div w:id="1983071885">
      <w:bodyDiv w:val="1"/>
      <w:marLeft w:val="0"/>
      <w:marRight w:val="0"/>
      <w:marTop w:val="0"/>
      <w:marBottom w:val="0"/>
      <w:divBdr>
        <w:top w:val="none" w:sz="0" w:space="0" w:color="auto"/>
        <w:left w:val="none" w:sz="0" w:space="0" w:color="auto"/>
        <w:bottom w:val="none" w:sz="0" w:space="0" w:color="auto"/>
        <w:right w:val="none" w:sz="0" w:space="0" w:color="auto"/>
      </w:divBdr>
    </w:div>
    <w:div w:id="2001495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KO9OhiYZnt8XVDy822Mn+/5rg==">CgMxLjAyCWguMzBqMHpsbDIJaC4xZm9iOXRlMg5oLnNia2RsOWt1ZWFkcjgAciExeVJGYVd2amoyWFJUU0ZwZE55cURFcmRJOHRWQnI1V0U=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739</Words>
  <Characters>4067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Laura Vanessa Orjuela Barahona</cp:lastModifiedBy>
  <cp:revision>2</cp:revision>
  <dcterms:created xsi:type="dcterms:W3CDTF">2026-04-04T03:11:00Z</dcterms:created>
  <dcterms:modified xsi:type="dcterms:W3CDTF">2026-04-04T03:11:00Z</dcterms:modified>
</cp:coreProperties>
</file>